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APPENDIX 4</w:t>
      </w:r>
    </w:p>
    <w:p>
      <w:pPr>
        <w:pStyle w:val="BodyText"/>
        <w:spacing w:line="276" w:lineRule="auto" w:before="40"/>
        <w:ind w:left="115" w:right="5933" w:firstLine="2"/>
      </w:pPr>
      <w:r>
        <w:rPr/>
        <w:t>Quorn Parish Council – 5</w:t>
      </w:r>
      <w:r>
        <w:rPr>
          <w:vertAlign w:val="superscript"/>
        </w:rPr>
        <w:t>th</w:t>
      </w:r>
      <w:r>
        <w:rPr>
          <w:vertAlign w:val="baseline"/>
        </w:rPr>
        <w:t> January 2021 Clerk’s Report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4962"/>
        <w:gridCol w:w="2161"/>
        <w:gridCol w:w="1522"/>
      </w:tblGrid>
      <w:tr>
        <w:trPr>
          <w:trHeight w:val="712" w:hRule="atLeast"/>
        </w:trPr>
        <w:tc>
          <w:tcPr>
            <w:tcW w:w="1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49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Update</w:t>
            </w:r>
          </w:p>
        </w:tc>
        <w:tc>
          <w:tcPr>
            <w:tcW w:w="1522" w:type="dxa"/>
          </w:tcPr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Action</w:t>
            </w:r>
          </w:p>
        </w:tc>
      </w:tr>
      <w:tr>
        <w:trPr>
          <w:trHeight w:val="1245" w:hRule="atLeast"/>
        </w:trPr>
        <w:tc>
          <w:tcPr>
            <w:tcW w:w="1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19/165b</w:t>
            </w:r>
          </w:p>
        </w:tc>
        <w:tc>
          <w:tcPr>
            <w:tcW w:w="4962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Lack of burial spaces in the village.</w:t>
            </w:r>
          </w:p>
          <w:p>
            <w:pPr>
              <w:pStyle w:val="TableParagraph"/>
              <w:spacing w:before="0"/>
              <w:ind w:right="276"/>
              <w:rPr>
                <w:sz w:val="22"/>
              </w:rPr>
            </w:pPr>
            <w:r>
              <w:rPr>
                <w:sz w:val="22"/>
              </w:rPr>
              <w:t>Indicative costs to be sought for a designated area for Quorn residents at the new Nanpantan cemetery.</w:t>
            </w:r>
          </w:p>
        </w:tc>
        <w:tc>
          <w:tcPr>
            <w:tcW w:w="2161" w:type="dxa"/>
          </w:tcPr>
          <w:p>
            <w:pPr>
              <w:pStyle w:val="TableParagraph"/>
              <w:ind w:right="362"/>
              <w:rPr>
                <w:sz w:val="22"/>
              </w:rPr>
            </w:pPr>
            <w:r>
              <w:rPr>
                <w:sz w:val="22"/>
              </w:rPr>
              <w:t>Costing promised early in 2021.</w:t>
            </w:r>
          </w:p>
        </w:tc>
        <w:tc>
          <w:tcPr>
            <w:tcW w:w="1522" w:type="dxa"/>
          </w:tcPr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Carry forward</w:t>
            </w:r>
          </w:p>
        </w:tc>
      </w:tr>
      <w:tr>
        <w:trPr>
          <w:trHeight w:val="1262" w:hRule="atLeast"/>
        </w:trPr>
        <w:tc>
          <w:tcPr>
            <w:tcW w:w="1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20/166</w:t>
            </w:r>
          </w:p>
        </w:tc>
        <w:tc>
          <w:tcPr>
            <w:tcW w:w="4962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PC members of the Car Park Working Group to reconvene to progress CBC recommended actions and to consider LCC response on Group’s proposed on street parking restrictions.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 the agenda.</w:t>
            </w:r>
          </w:p>
        </w:tc>
        <w:tc>
          <w:tcPr>
            <w:tcW w:w="1522" w:type="dxa"/>
          </w:tcPr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Clear item</w:t>
            </w:r>
          </w:p>
        </w:tc>
      </w:tr>
      <w:tr>
        <w:trPr>
          <w:trHeight w:val="739" w:hRule="atLeast"/>
        </w:trPr>
        <w:tc>
          <w:tcPr>
            <w:tcW w:w="1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20/168</w:t>
            </w:r>
          </w:p>
        </w:tc>
        <w:tc>
          <w:tcPr>
            <w:tcW w:w="4962" w:type="dxa"/>
          </w:tcPr>
          <w:p>
            <w:pPr>
              <w:pStyle w:val="TableParagraph"/>
              <w:ind w:right="1109"/>
              <w:rPr>
                <w:sz w:val="22"/>
              </w:rPr>
            </w:pPr>
            <w:r>
              <w:rPr>
                <w:sz w:val="22"/>
              </w:rPr>
              <w:t>Clerk to chase CBC response from the organisers of the Food and Craft Fair.</w:t>
            </w:r>
          </w:p>
        </w:tc>
        <w:tc>
          <w:tcPr>
            <w:tcW w:w="2161" w:type="dxa"/>
          </w:tcPr>
          <w:p>
            <w:pPr>
              <w:pStyle w:val="TableParagraph"/>
              <w:ind w:right="484"/>
              <w:rPr>
                <w:sz w:val="22"/>
              </w:rPr>
            </w:pPr>
            <w:r>
              <w:rPr>
                <w:sz w:val="22"/>
              </w:rPr>
              <w:t>Picked up under 21/008</w:t>
            </w:r>
          </w:p>
        </w:tc>
        <w:tc>
          <w:tcPr>
            <w:tcW w:w="1522" w:type="dxa"/>
          </w:tcPr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Clear item</w:t>
            </w:r>
          </w:p>
        </w:tc>
      </w:tr>
      <w:tr>
        <w:trPr>
          <w:trHeight w:val="1238" w:hRule="atLeast"/>
        </w:trPr>
        <w:tc>
          <w:tcPr>
            <w:tcW w:w="1020" w:type="dxa"/>
            <w:tcBorders>
              <w:bottom w:val="single" w:sz="34" w:space="0" w:color="E3B8B7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20/171</w:t>
            </w:r>
          </w:p>
        </w:tc>
        <w:tc>
          <w:tcPr>
            <w:tcW w:w="4962" w:type="dxa"/>
            <w:tcBorders>
              <w:bottom w:val="single" w:sz="34" w:space="0" w:color="E3B8B7"/>
            </w:tcBorders>
          </w:tcPr>
          <w:p>
            <w:pPr>
              <w:pStyle w:val="TableParagraph"/>
              <w:ind w:right="190"/>
              <w:rPr>
                <w:sz w:val="22"/>
              </w:rPr>
            </w:pPr>
            <w:r>
              <w:rPr>
                <w:sz w:val="22"/>
              </w:rPr>
              <w:t>Climate Change – volunteer recruitment campaign to be launched via the next Quorndon and social media.</w:t>
            </w:r>
          </w:p>
        </w:tc>
        <w:tc>
          <w:tcPr>
            <w:tcW w:w="2161" w:type="dxa"/>
            <w:tcBorders>
              <w:bottom w:val="single" w:sz="34" w:space="0" w:color="E3B8B7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Press release to be prepared for release as lockdown restrictions ease.</w:t>
            </w:r>
          </w:p>
        </w:tc>
        <w:tc>
          <w:tcPr>
            <w:tcW w:w="1522" w:type="dxa"/>
            <w:tcBorders>
              <w:bottom w:val="single" w:sz="34" w:space="0" w:color="E3B8B7"/>
            </w:tcBorders>
          </w:tcPr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Carry forward</w:t>
            </w:r>
          </w:p>
        </w:tc>
      </w:tr>
      <w:tr>
        <w:trPr>
          <w:trHeight w:val="435" w:hRule="atLeast"/>
        </w:trPr>
        <w:tc>
          <w:tcPr>
            <w:tcW w:w="9665" w:type="dxa"/>
            <w:gridSpan w:val="4"/>
            <w:shd w:val="clear" w:color="auto" w:fill="E3B8B7"/>
          </w:tcPr>
          <w:p>
            <w:pPr>
              <w:pStyle w:val="TableParagraph"/>
              <w:spacing w:line="242" w:lineRule="exact" w:before="0"/>
              <w:ind w:left="3797" w:right="3788"/>
              <w:jc w:val="center"/>
              <w:rPr>
                <w:sz w:val="22"/>
              </w:rPr>
            </w:pPr>
            <w:r>
              <w:rPr>
                <w:sz w:val="22"/>
              </w:rPr>
              <w:t>Last Month’s Actions</w:t>
            </w:r>
          </w:p>
        </w:tc>
      </w:tr>
      <w:tr>
        <w:trPr>
          <w:trHeight w:val="730" w:hRule="atLeast"/>
        </w:trPr>
        <w:tc>
          <w:tcPr>
            <w:tcW w:w="1020" w:type="dxa"/>
            <w:tcBorders>
              <w:top w:val="single" w:sz="34" w:space="0" w:color="E3B8B7"/>
            </w:tcBorders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sz w:val="22"/>
              </w:rPr>
              <w:t>21/001</w:t>
            </w:r>
          </w:p>
        </w:tc>
        <w:tc>
          <w:tcPr>
            <w:tcW w:w="4962" w:type="dxa"/>
            <w:tcBorders>
              <w:top w:val="single" w:sz="34" w:space="0" w:color="E3B8B7"/>
            </w:tcBorders>
          </w:tcPr>
          <w:p>
            <w:pPr>
              <w:pStyle w:val="TableParagraph"/>
              <w:spacing w:before="46"/>
              <w:ind w:right="57"/>
              <w:rPr>
                <w:sz w:val="22"/>
              </w:rPr>
            </w:pPr>
            <w:r>
              <w:rPr>
                <w:sz w:val="22"/>
              </w:rPr>
              <w:t>Clerk to submit Acceptance of Office Form for the new Chair.</w:t>
            </w:r>
          </w:p>
        </w:tc>
        <w:tc>
          <w:tcPr>
            <w:tcW w:w="2161" w:type="dxa"/>
            <w:tcBorders>
              <w:top w:val="single" w:sz="34" w:space="0" w:color="E3B8B7"/>
            </w:tcBorders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sz w:val="22"/>
              </w:rPr>
              <w:t>Done</w:t>
            </w:r>
          </w:p>
        </w:tc>
        <w:tc>
          <w:tcPr>
            <w:tcW w:w="1522" w:type="dxa"/>
            <w:tcBorders>
              <w:top w:val="single" w:sz="34" w:space="0" w:color="E3B8B7"/>
            </w:tcBorders>
          </w:tcPr>
          <w:p>
            <w:pPr>
              <w:pStyle w:val="TableParagraph"/>
              <w:spacing w:before="46"/>
              <w:ind w:left="56"/>
              <w:rPr>
                <w:sz w:val="22"/>
              </w:rPr>
            </w:pPr>
            <w:r>
              <w:rPr>
                <w:sz w:val="22"/>
              </w:rPr>
              <w:t>Clear item</w:t>
            </w:r>
          </w:p>
        </w:tc>
      </w:tr>
      <w:tr>
        <w:trPr>
          <w:trHeight w:val="741" w:hRule="atLeast"/>
        </w:trPr>
        <w:tc>
          <w:tcPr>
            <w:tcW w:w="1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21/008</w:t>
            </w:r>
          </w:p>
        </w:tc>
        <w:tc>
          <w:tcPr>
            <w:tcW w:w="49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i/>
                <w:sz w:val="22"/>
              </w:rPr>
              <w:t>20/168 – </w:t>
            </w:r>
            <w:r>
              <w:rPr>
                <w:sz w:val="22"/>
              </w:rPr>
              <w:t>Food and Craft Fair Report.</w:t>
            </w:r>
          </w:p>
        </w:tc>
        <w:tc>
          <w:tcPr>
            <w:tcW w:w="2161" w:type="dxa"/>
          </w:tcPr>
          <w:p>
            <w:pPr>
              <w:pStyle w:val="TableParagraph"/>
              <w:ind w:right="215"/>
              <w:rPr>
                <w:sz w:val="22"/>
              </w:rPr>
            </w:pPr>
            <w:r>
              <w:rPr>
                <w:sz w:val="22"/>
              </w:rPr>
              <w:t>Circulated by Clerk 28/01/2020.</w:t>
            </w:r>
          </w:p>
        </w:tc>
        <w:tc>
          <w:tcPr>
            <w:tcW w:w="1522" w:type="dxa"/>
          </w:tcPr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Clear item</w:t>
            </w:r>
          </w:p>
        </w:tc>
      </w:tr>
      <w:tr>
        <w:trPr>
          <w:trHeight w:val="738" w:hRule="atLeast"/>
        </w:trPr>
        <w:tc>
          <w:tcPr>
            <w:tcW w:w="1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21/009</w:t>
            </w:r>
          </w:p>
        </w:tc>
        <w:tc>
          <w:tcPr>
            <w:tcW w:w="4962" w:type="dxa"/>
          </w:tcPr>
          <w:p>
            <w:pPr>
              <w:pStyle w:val="TableParagraph"/>
              <w:ind w:right="583"/>
              <w:rPr>
                <w:sz w:val="22"/>
              </w:rPr>
            </w:pPr>
            <w:r>
              <w:rPr>
                <w:sz w:val="22"/>
              </w:rPr>
              <w:t>Councillor Surgery items – monthly report to Council.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 the agenda.</w:t>
            </w:r>
          </w:p>
        </w:tc>
        <w:tc>
          <w:tcPr>
            <w:tcW w:w="1522" w:type="dxa"/>
          </w:tcPr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Clear item</w:t>
            </w:r>
          </w:p>
        </w:tc>
      </w:tr>
      <w:tr>
        <w:trPr>
          <w:trHeight w:val="741" w:hRule="atLeast"/>
        </w:trPr>
        <w:tc>
          <w:tcPr>
            <w:tcW w:w="1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21/011b</w:t>
            </w:r>
          </w:p>
        </w:tc>
        <w:tc>
          <w:tcPr>
            <w:tcW w:w="4962" w:type="dxa"/>
          </w:tcPr>
          <w:p>
            <w:pPr>
              <w:pStyle w:val="TableParagraph"/>
              <w:ind w:right="546"/>
              <w:rPr>
                <w:sz w:val="22"/>
              </w:rPr>
            </w:pPr>
            <w:r>
              <w:rPr>
                <w:sz w:val="22"/>
              </w:rPr>
              <w:t>Clerk to investigate if staff are eligible for the government’s furlough scheme.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Completed.</w:t>
            </w:r>
          </w:p>
        </w:tc>
        <w:tc>
          <w:tcPr>
            <w:tcW w:w="1522" w:type="dxa"/>
          </w:tcPr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Clear item</w:t>
            </w:r>
          </w:p>
        </w:tc>
      </w:tr>
      <w:tr>
        <w:trPr>
          <w:trHeight w:val="1245" w:hRule="atLeast"/>
        </w:trPr>
        <w:tc>
          <w:tcPr>
            <w:tcW w:w="1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21/014b</w:t>
            </w:r>
          </w:p>
        </w:tc>
        <w:tc>
          <w:tcPr>
            <w:tcW w:w="4962" w:type="dxa"/>
          </w:tcPr>
          <w:p>
            <w:pPr>
              <w:pStyle w:val="TableParagraph"/>
              <w:ind w:right="325"/>
              <w:rPr>
                <w:sz w:val="22"/>
              </w:rPr>
            </w:pPr>
            <w:r>
              <w:rPr>
                <w:sz w:val="22"/>
              </w:rPr>
              <w:t>Anomaly between bank reconciliation year end figure and budget.</w:t>
            </w:r>
          </w:p>
        </w:tc>
        <w:tc>
          <w:tcPr>
            <w:tcW w:w="2161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Reconciliation figure is net (minus VAT) and budget figure is gross.</w:t>
            </w:r>
          </w:p>
        </w:tc>
        <w:tc>
          <w:tcPr>
            <w:tcW w:w="1522" w:type="dxa"/>
          </w:tcPr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Clear item</w:t>
            </w:r>
          </w:p>
        </w:tc>
      </w:tr>
    </w:tbl>
    <w:sectPr>
      <w:type w:val="continuous"/>
      <w:pgSz w:w="11920" w:h="16850"/>
      <w:pgMar w:top="480" w:bottom="280" w:left="13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Arial" w:hAnsi="Arial" w:eastAsia="Arial" w:cs="Arial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right="391"/>
      <w:jc w:val="right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55"/>
      <w:ind w:left="57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Gibbs</dc:creator>
  <dc:title>Clerk's Report</dc:title>
  <dcterms:created xsi:type="dcterms:W3CDTF">2021-02-08T10:35:45Z</dcterms:created>
  <dcterms:modified xsi:type="dcterms:W3CDTF">2021-02-08T10:35:45Z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</Properties>
</file>